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4754EF" w:rsidTr="004754E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425A03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4754EF" w:rsidTr="004754E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2 (TLT2)</w:t>
            </w: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TLTSEC207 Deontoloji ve Tıbbi Etik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TLTSEC209 Araştırma Yöntem ve Teknikleri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TLTSEC213 BAKTERİYOLOJİK TANI YÖNTEMLERİ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207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205 İmmünolojik Yöntemler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TLTSEC217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203 Klinik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TLT201 TEMEL LABORATUVAR UYGULAMALARI-1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TLTSEC205 Çevre Sağlığı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754EF" w:rsidTr="004754EF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4EF" w:rsidRDefault="004754EF" w:rsidP="004754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754EF" w:rsidRDefault="004754EF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4754EF">
      <w:pPr>
        <w:spacing w:after="0" w:line="240" w:lineRule="auto"/>
      </w:pPr>
    </w:p>
    <w:sectPr w:rsidR="00F05C37" w:rsidSect="00192D67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EF"/>
    <w:rsid w:val="00425A03"/>
    <w:rsid w:val="004754EF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FEB41-CF23-47FA-AC86-78119A24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4754EF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4754EF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4754EF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4754EF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4754EF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4754EF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4754EF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4754EF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4754EF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475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NouS/TncTR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2026-01-15T10:01:00Z</dcterms:modified>
</cp:coreProperties>
</file>