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EC598B" w:rsidTr="00EC598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521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r w:rsidR="00521B27">
              <w:rPr>
                <w:rStyle w:val="titletext1"/>
                <w:rFonts w:eastAsia="Times New Roman"/>
              </w:rPr>
              <w:t xml:space="preserve">Eğitim Öğretim Yılı GÜZ Dönemi </w:t>
            </w:r>
            <w:r w:rsidR="00521B27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EC598B" w:rsidTr="00EC598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1 (PTL1)</w:t>
            </w: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105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AİTB191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İnkilap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111 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PLT 109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Laboratuar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Aletleri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PLT 103 Genel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Histoteknoloji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107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C598B" w:rsidTr="00EC598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C598B" w:rsidRDefault="00EC598B" w:rsidP="00EC598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C598B" w:rsidRDefault="00EC598B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EC598B">
      <w:pPr>
        <w:spacing w:after="0" w:line="240" w:lineRule="auto"/>
      </w:pPr>
    </w:p>
    <w:sectPr w:rsidR="00F05C37" w:rsidSect="0095293C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8B"/>
    <w:rsid w:val="00521B27"/>
    <w:rsid w:val="00EC598B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1018"/>
  <w15:chartTrackingRefBased/>
  <w15:docId w15:val="{7522D601-4772-4210-A97A-2CFBF142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EC598B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EC598B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EC598B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EC598B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EC598B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EC598B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EC598B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EC598B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EC598B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E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NouS/TncTR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2026-01-15T10:00:00Z</dcterms:modified>
</cp:coreProperties>
</file>